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大连海洋大学应用技术学院二级单位消防安全管理机构统计表</w:t>
      </w:r>
    </w:p>
    <w:p>
      <w:pPr>
        <w:spacing w:line="360" w:lineRule="auto"/>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单位（公章）：                                                             填表时间：</w:t>
      </w:r>
    </w:p>
    <w:tbl>
      <w:tblPr>
        <w:tblStyle w:val="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1630"/>
        <w:gridCol w:w="1400"/>
        <w:gridCol w:w="2880"/>
        <w:gridCol w:w="1684"/>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45" w:type="pct"/>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消防安全责任人</w:t>
            </w:r>
          </w:p>
        </w:tc>
        <w:tc>
          <w:tcPr>
            <w:tcW w:w="575" w:type="pct"/>
            <w:vMerge w:val="restart"/>
            <w:vAlign w:val="center"/>
          </w:tcPr>
          <w:p>
            <w:pPr>
              <w:spacing w:line="360" w:lineRule="auto"/>
              <w:jc w:val="center"/>
              <w:rPr>
                <w:rFonts w:hint="eastAsia" w:ascii="仿宋_GB2312" w:hAnsi="仿宋_GB2312" w:eastAsia="仿宋_GB2312" w:cs="仿宋_GB2312"/>
                <w:sz w:val="28"/>
                <w:szCs w:val="28"/>
                <w:lang w:val="en-US" w:eastAsia="zh-CN"/>
              </w:rPr>
            </w:pPr>
          </w:p>
        </w:tc>
        <w:tc>
          <w:tcPr>
            <w:tcW w:w="494" w:type="pct"/>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16" w:type="pct"/>
            <w:vMerge w:val="restart"/>
            <w:vAlign w:val="center"/>
          </w:tcPr>
          <w:p>
            <w:pPr>
              <w:spacing w:line="360" w:lineRule="auto"/>
              <w:jc w:val="center"/>
              <w:rPr>
                <w:rFonts w:hint="eastAsia" w:ascii="仿宋_GB2312" w:hAnsi="仿宋_GB2312" w:eastAsia="仿宋_GB2312" w:cs="仿宋_GB2312"/>
                <w:sz w:val="28"/>
                <w:szCs w:val="28"/>
              </w:rPr>
            </w:pPr>
          </w:p>
        </w:tc>
        <w:tc>
          <w:tcPr>
            <w:tcW w:w="594" w:type="pct"/>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473" w:type="pct"/>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5" w:type="pct"/>
            <w:vMerge w:val="continue"/>
            <w:vAlign w:val="center"/>
          </w:tcPr>
          <w:p>
            <w:pPr>
              <w:spacing w:line="360" w:lineRule="auto"/>
              <w:jc w:val="center"/>
              <w:rPr>
                <w:rFonts w:hint="eastAsia" w:ascii="仿宋_GB2312" w:hAnsi="仿宋_GB2312" w:eastAsia="仿宋_GB2312" w:cs="仿宋_GB2312"/>
                <w:sz w:val="28"/>
                <w:szCs w:val="28"/>
              </w:rPr>
            </w:pPr>
          </w:p>
        </w:tc>
        <w:tc>
          <w:tcPr>
            <w:tcW w:w="575" w:type="pct"/>
            <w:vMerge w:val="continue"/>
            <w:vAlign w:val="center"/>
          </w:tcPr>
          <w:p>
            <w:pPr>
              <w:spacing w:line="360" w:lineRule="auto"/>
              <w:jc w:val="center"/>
              <w:rPr>
                <w:rFonts w:hint="eastAsia" w:ascii="仿宋_GB2312" w:hAnsi="仿宋_GB2312" w:eastAsia="仿宋_GB2312" w:cs="仿宋_GB2312"/>
                <w:sz w:val="28"/>
                <w:szCs w:val="28"/>
                <w:lang w:val="en-US" w:eastAsia="zh-CN"/>
              </w:rPr>
            </w:pPr>
          </w:p>
        </w:tc>
        <w:tc>
          <w:tcPr>
            <w:tcW w:w="494" w:type="pct"/>
            <w:vMerge w:val="continue"/>
            <w:vAlign w:val="center"/>
          </w:tcPr>
          <w:p>
            <w:pPr>
              <w:spacing w:line="360" w:lineRule="auto"/>
              <w:jc w:val="center"/>
              <w:rPr>
                <w:rFonts w:hint="eastAsia" w:ascii="仿宋_GB2312" w:hAnsi="仿宋_GB2312" w:eastAsia="仿宋_GB2312" w:cs="仿宋_GB2312"/>
                <w:sz w:val="28"/>
                <w:szCs w:val="28"/>
              </w:rPr>
            </w:pPr>
          </w:p>
        </w:tc>
        <w:tc>
          <w:tcPr>
            <w:tcW w:w="1016" w:type="pct"/>
            <w:vMerge w:val="continue"/>
            <w:vAlign w:val="center"/>
          </w:tcPr>
          <w:p>
            <w:pPr>
              <w:spacing w:line="360" w:lineRule="auto"/>
              <w:jc w:val="center"/>
              <w:rPr>
                <w:rFonts w:hint="eastAsia" w:ascii="仿宋_GB2312" w:hAnsi="仿宋_GB2312" w:eastAsia="仿宋_GB2312" w:cs="仿宋_GB2312"/>
                <w:sz w:val="28"/>
                <w:szCs w:val="28"/>
              </w:rPr>
            </w:pPr>
          </w:p>
        </w:tc>
        <w:tc>
          <w:tcPr>
            <w:tcW w:w="594" w:type="pct"/>
            <w:vMerge w:val="continue"/>
            <w:vAlign w:val="center"/>
          </w:tcPr>
          <w:p>
            <w:pPr>
              <w:spacing w:line="360" w:lineRule="auto"/>
              <w:jc w:val="center"/>
              <w:rPr>
                <w:rFonts w:hint="eastAsia" w:ascii="仿宋_GB2312" w:hAnsi="仿宋_GB2312" w:eastAsia="仿宋_GB2312" w:cs="仿宋_GB2312"/>
                <w:sz w:val="28"/>
                <w:szCs w:val="28"/>
              </w:rPr>
            </w:pPr>
          </w:p>
        </w:tc>
        <w:tc>
          <w:tcPr>
            <w:tcW w:w="1473" w:type="pct"/>
            <w:vAlign w:val="center"/>
          </w:tcPr>
          <w:p>
            <w:pPr>
              <w:spacing w:line="360" w:lineRule="auto"/>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45" w:type="pct"/>
            <w:vMerge w:val="restart"/>
            <w:vAlign w:val="center"/>
          </w:tcPr>
          <w:p>
            <w:pPr>
              <w:spacing w:line="360" w:lineRule="auto"/>
              <w:jc w:val="center"/>
              <w:rPr>
                <w:rFonts w:hint="eastAsia" w:ascii="仿宋_GB2312" w:hAnsi="仿宋_GB2312" w:eastAsia="仿宋_GB2312" w:cs="仿宋_GB2312"/>
                <w:sz w:val="28"/>
                <w:szCs w:val="28"/>
              </w:rPr>
            </w:pPr>
          </w:p>
        </w:tc>
        <w:tc>
          <w:tcPr>
            <w:tcW w:w="575" w:type="pct"/>
            <w:vMerge w:val="restart"/>
            <w:vAlign w:val="center"/>
          </w:tcPr>
          <w:p>
            <w:pPr>
              <w:spacing w:line="360" w:lineRule="auto"/>
              <w:jc w:val="center"/>
              <w:rPr>
                <w:rFonts w:hint="eastAsia" w:ascii="仿宋_GB2312" w:hAnsi="仿宋_GB2312" w:eastAsia="仿宋_GB2312" w:cs="仿宋_GB2312"/>
                <w:sz w:val="28"/>
                <w:szCs w:val="28"/>
              </w:rPr>
            </w:pPr>
          </w:p>
        </w:tc>
        <w:tc>
          <w:tcPr>
            <w:tcW w:w="494" w:type="pct"/>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16" w:type="pct"/>
            <w:vMerge w:val="restart"/>
            <w:vAlign w:val="center"/>
          </w:tcPr>
          <w:p>
            <w:pPr>
              <w:spacing w:line="360" w:lineRule="auto"/>
              <w:jc w:val="center"/>
              <w:rPr>
                <w:rFonts w:hint="eastAsia" w:ascii="仿宋_GB2312" w:hAnsi="仿宋_GB2312" w:eastAsia="仿宋_GB2312" w:cs="仿宋_GB2312"/>
                <w:sz w:val="28"/>
                <w:szCs w:val="28"/>
              </w:rPr>
            </w:pPr>
          </w:p>
        </w:tc>
        <w:tc>
          <w:tcPr>
            <w:tcW w:w="594" w:type="pct"/>
            <w:vMerge w:val="restart"/>
            <w:vAlign w:val="center"/>
          </w:tcPr>
          <w:p>
            <w:pPr>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联系方式</w:t>
            </w:r>
          </w:p>
        </w:tc>
        <w:tc>
          <w:tcPr>
            <w:tcW w:w="1473" w:type="pct"/>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45" w:type="pct"/>
            <w:vMerge w:val="continue"/>
            <w:vAlign w:val="center"/>
          </w:tcPr>
          <w:p>
            <w:pPr>
              <w:spacing w:line="360" w:lineRule="auto"/>
              <w:jc w:val="center"/>
              <w:rPr>
                <w:rFonts w:hint="eastAsia" w:ascii="仿宋_GB2312" w:hAnsi="仿宋_GB2312" w:eastAsia="仿宋_GB2312" w:cs="仿宋_GB2312"/>
                <w:sz w:val="28"/>
                <w:szCs w:val="28"/>
              </w:rPr>
            </w:pPr>
          </w:p>
        </w:tc>
        <w:tc>
          <w:tcPr>
            <w:tcW w:w="575" w:type="pct"/>
            <w:vMerge w:val="continue"/>
            <w:vAlign w:val="center"/>
          </w:tcPr>
          <w:p>
            <w:pPr>
              <w:spacing w:line="360" w:lineRule="auto"/>
              <w:jc w:val="center"/>
              <w:rPr>
                <w:rFonts w:hint="eastAsia" w:ascii="仿宋_GB2312" w:hAnsi="仿宋_GB2312" w:eastAsia="仿宋_GB2312" w:cs="仿宋_GB2312"/>
                <w:sz w:val="28"/>
                <w:szCs w:val="28"/>
              </w:rPr>
            </w:pPr>
          </w:p>
        </w:tc>
        <w:tc>
          <w:tcPr>
            <w:tcW w:w="494" w:type="pct"/>
            <w:vMerge w:val="continue"/>
            <w:vAlign w:val="center"/>
          </w:tcPr>
          <w:p>
            <w:pPr>
              <w:spacing w:line="360" w:lineRule="auto"/>
              <w:jc w:val="center"/>
              <w:rPr>
                <w:rFonts w:hint="eastAsia" w:ascii="仿宋_GB2312" w:hAnsi="仿宋_GB2312" w:eastAsia="仿宋_GB2312" w:cs="仿宋_GB2312"/>
                <w:sz w:val="28"/>
                <w:szCs w:val="28"/>
              </w:rPr>
            </w:pPr>
          </w:p>
        </w:tc>
        <w:tc>
          <w:tcPr>
            <w:tcW w:w="1016" w:type="pct"/>
            <w:vMerge w:val="continue"/>
            <w:vAlign w:val="center"/>
          </w:tcPr>
          <w:p>
            <w:pPr>
              <w:spacing w:line="360" w:lineRule="auto"/>
              <w:jc w:val="center"/>
              <w:rPr>
                <w:rFonts w:hint="eastAsia" w:ascii="仿宋_GB2312" w:hAnsi="仿宋_GB2312" w:eastAsia="仿宋_GB2312" w:cs="仿宋_GB2312"/>
                <w:sz w:val="28"/>
                <w:szCs w:val="28"/>
              </w:rPr>
            </w:pPr>
          </w:p>
        </w:tc>
        <w:tc>
          <w:tcPr>
            <w:tcW w:w="594" w:type="pct"/>
            <w:vMerge w:val="continue"/>
            <w:vAlign w:val="center"/>
          </w:tcPr>
          <w:p>
            <w:pPr>
              <w:spacing w:line="360" w:lineRule="auto"/>
              <w:jc w:val="center"/>
              <w:rPr>
                <w:rFonts w:hint="eastAsia" w:ascii="仿宋_GB2312" w:hAnsi="仿宋_GB2312" w:eastAsia="仿宋_GB2312" w:cs="仿宋_GB2312"/>
                <w:sz w:val="28"/>
                <w:szCs w:val="28"/>
              </w:rPr>
            </w:pPr>
          </w:p>
        </w:tc>
        <w:tc>
          <w:tcPr>
            <w:tcW w:w="1473" w:type="pct"/>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45" w:type="pct"/>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消防安全管理人</w:t>
            </w:r>
          </w:p>
        </w:tc>
        <w:tc>
          <w:tcPr>
            <w:tcW w:w="575" w:type="pct"/>
            <w:vMerge w:val="restart"/>
            <w:vAlign w:val="center"/>
          </w:tcPr>
          <w:p>
            <w:pPr>
              <w:spacing w:line="360" w:lineRule="auto"/>
              <w:jc w:val="center"/>
              <w:rPr>
                <w:rFonts w:hint="eastAsia" w:ascii="仿宋_GB2312" w:hAnsi="仿宋_GB2312" w:eastAsia="仿宋_GB2312" w:cs="仿宋_GB2312"/>
                <w:sz w:val="28"/>
                <w:szCs w:val="28"/>
              </w:rPr>
            </w:pPr>
          </w:p>
        </w:tc>
        <w:tc>
          <w:tcPr>
            <w:tcW w:w="494" w:type="pct"/>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16" w:type="pct"/>
            <w:vMerge w:val="restart"/>
            <w:vAlign w:val="center"/>
          </w:tcPr>
          <w:p>
            <w:pPr>
              <w:spacing w:line="360" w:lineRule="auto"/>
              <w:jc w:val="center"/>
              <w:rPr>
                <w:rFonts w:hint="eastAsia" w:ascii="仿宋_GB2312" w:hAnsi="仿宋_GB2312" w:eastAsia="仿宋_GB2312" w:cs="仿宋_GB2312"/>
                <w:sz w:val="28"/>
                <w:szCs w:val="28"/>
              </w:rPr>
            </w:pPr>
          </w:p>
        </w:tc>
        <w:tc>
          <w:tcPr>
            <w:tcW w:w="594" w:type="pct"/>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473" w:type="pct"/>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5" w:type="pct"/>
            <w:vMerge w:val="continue"/>
            <w:vAlign w:val="center"/>
          </w:tcPr>
          <w:p>
            <w:pPr>
              <w:spacing w:line="360" w:lineRule="auto"/>
              <w:jc w:val="center"/>
              <w:rPr>
                <w:rFonts w:hint="eastAsia" w:ascii="仿宋_GB2312" w:hAnsi="仿宋_GB2312" w:eastAsia="仿宋_GB2312" w:cs="仿宋_GB2312"/>
                <w:sz w:val="28"/>
                <w:szCs w:val="28"/>
              </w:rPr>
            </w:pPr>
          </w:p>
        </w:tc>
        <w:tc>
          <w:tcPr>
            <w:tcW w:w="575" w:type="pct"/>
            <w:vMerge w:val="continue"/>
            <w:vAlign w:val="center"/>
          </w:tcPr>
          <w:p>
            <w:pPr>
              <w:spacing w:line="360" w:lineRule="auto"/>
              <w:jc w:val="center"/>
              <w:rPr>
                <w:rFonts w:hint="eastAsia" w:ascii="仿宋_GB2312" w:hAnsi="仿宋_GB2312" w:eastAsia="仿宋_GB2312" w:cs="仿宋_GB2312"/>
                <w:sz w:val="28"/>
                <w:szCs w:val="28"/>
              </w:rPr>
            </w:pPr>
          </w:p>
        </w:tc>
        <w:tc>
          <w:tcPr>
            <w:tcW w:w="494" w:type="pct"/>
            <w:vMerge w:val="continue"/>
            <w:vAlign w:val="center"/>
          </w:tcPr>
          <w:p>
            <w:pPr>
              <w:spacing w:line="360" w:lineRule="auto"/>
              <w:jc w:val="center"/>
              <w:rPr>
                <w:rFonts w:hint="eastAsia" w:ascii="仿宋_GB2312" w:hAnsi="仿宋_GB2312" w:eastAsia="仿宋_GB2312" w:cs="仿宋_GB2312"/>
                <w:sz w:val="28"/>
                <w:szCs w:val="28"/>
              </w:rPr>
            </w:pPr>
          </w:p>
        </w:tc>
        <w:tc>
          <w:tcPr>
            <w:tcW w:w="1016" w:type="pct"/>
            <w:vMerge w:val="continue"/>
            <w:vAlign w:val="center"/>
          </w:tcPr>
          <w:p>
            <w:pPr>
              <w:spacing w:line="360" w:lineRule="auto"/>
              <w:jc w:val="center"/>
              <w:rPr>
                <w:rFonts w:hint="eastAsia" w:ascii="仿宋_GB2312" w:hAnsi="仿宋_GB2312" w:eastAsia="仿宋_GB2312" w:cs="仿宋_GB2312"/>
                <w:sz w:val="28"/>
                <w:szCs w:val="28"/>
              </w:rPr>
            </w:pPr>
          </w:p>
        </w:tc>
        <w:tc>
          <w:tcPr>
            <w:tcW w:w="594" w:type="pct"/>
            <w:vMerge w:val="continue"/>
            <w:vAlign w:val="center"/>
          </w:tcPr>
          <w:p>
            <w:pPr>
              <w:spacing w:line="360" w:lineRule="auto"/>
              <w:jc w:val="center"/>
              <w:rPr>
                <w:rFonts w:hint="eastAsia" w:ascii="仿宋_GB2312" w:hAnsi="仿宋_GB2312" w:eastAsia="仿宋_GB2312" w:cs="仿宋_GB2312"/>
                <w:sz w:val="28"/>
                <w:szCs w:val="28"/>
              </w:rPr>
            </w:pPr>
          </w:p>
        </w:tc>
        <w:tc>
          <w:tcPr>
            <w:tcW w:w="1473" w:type="pct"/>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5" w:type="pct"/>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消防安全员</w:t>
            </w:r>
          </w:p>
        </w:tc>
        <w:tc>
          <w:tcPr>
            <w:tcW w:w="575" w:type="pct"/>
            <w:vMerge w:val="restart"/>
            <w:vAlign w:val="center"/>
          </w:tcPr>
          <w:p>
            <w:pPr>
              <w:spacing w:line="360" w:lineRule="auto"/>
              <w:jc w:val="center"/>
              <w:rPr>
                <w:rFonts w:hint="eastAsia" w:ascii="仿宋_GB2312" w:hAnsi="仿宋_GB2312" w:eastAsia="仿宋_GB2312" w:cs="仿宋_GB2312"/>
                <w:sz w:val="28"/>
                <w:szCs w:val="28"/>
              </w:rPr>
            </w:pPr>
          </w:p>
        </w:tc>
        <w:tc>
          <w:tcPr>
            <w:tcW w:w="494" w:type="pct"/>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16" w:type="pct"/>
            <w:vMerge w:val="restart"/>
            <w:vAlign w:val="center"/>
          </w:tcPr>
          <w:p>
            <w:pPr>
              <w:spacing w:line="360" w:lineRule="auto"/>
              <w:jc w:val="center"/>
              <w:rPr>
                <w:rFonts w:hint="eastAsia" w:ascii="仿宋_GB2312" w:hAnsi="仿宋_GB2312" w:eastAsia="仿宋_GB2312" w:cs="仿宋_GB2312"/>
                <w:sz w:val="28"/>
                <w:szCs w:val="28"/>
              </w:rPr>
            </w:pPr>
          </w:p>
        </w:tc>
        <w:tc>
          <w:tcPr>
            <w:tcW w:w="594" w:type="pct"/>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473" w:type="pct"/>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5" w:type="pct"/>
            <w:vMerge w:val="continue"/>
            <w:vAlign w:val="center"/>
          </w:tcPr>
          <w:p>
            <w:pPr>
              <w:spacing w:line="360" w:lineRule="auto"/>
              <w:jc w:val="center"/>
              <w:rPr>
                <w:rFonts w:hint="eastAsia" w:ascii="仿宋_GB2312" w:hAnsi="仿宋_GB2312" w:eastAsia="仿宋_GB2312" w:cs="仿宋_GB2312"/>
                <w:sz w:val="28"/>
                <w:szCs w:val="28"/>
              </w:rPr>
            </w:pPr>
          </w:p>
        </w:tc>
        <w:tc>
          <w:tcPr>
            <w:tcW w:w="575" w:type="pct"/>
            <w:vMerge w:val="continue"/>
            <w:vAlign w:val="center"/>
          </w:tcPr>
          <w:p>
            <w:pPr>
              <w:spacing w:line="360" w:lineRule="auto"/>
              <w:jc w:val="center"/>
              <w:rPr>
                <w:rFonts w:hint="eastAsia" w:ascii="仿宋_GB2312" w:hAnsi="仿宋_GB2312" w:eastAsia="仿宋_GB2312" w:cs="仿宋_GB2312"/>
                <w:sz w:val="28"/>
                <w:szCs w:val="28"/>
              </w:rPr>
            </w:pPr>
          </w:p>
        </w:tc>
        <w:tc>
          <w:tcPr>
            <w:tcW w:w="494" w:type="pct"/>
            <w:vMerge w:val="continue"/>
            <w:vAlign w:val="center"/>
          </w:tcPr>
          <w:p>
            <w:pPr>
              <w:spacing w:line="360" w:lineRule="auto"/>
              <w:jc w:val="center"/>
              <w:rPr>
                <w:rFonts w:hint="eastAsia" w:ascii="仿宋_GB2312" w:hAnsi="仿宋_GB2312" w:eastAsia="仿宋_GB2312" w:cs="仿宋_GB2312"/>
                <w:sz w:val="28"/>
                <w:szCs w:val="28"/>
              </w:rPr>
            </w:pPr>
          </w:p>
        </w:tc>
        <w:tc>
          <w:tcPr>
            <w:tcW w:w="1016" w:type="pct"/>
            <w:vMerge w:val="continue"/>
            <w:vAlign w:val="center"/>
          </w:tcPr>
          <w:p>
            <w:pPr>
              <w:spacing w:line="360" w:lineRule="auto"/>
              <w:jc w:val="center"/>
              <w:rPr>
                <w:rFonts w:hint="eastAsia" w:ascii="仿宋_GB2312" w:hAnsi="仿宋_GB2312" w:eastAsia="仿宋_GB2312" w:cs="仿宋_GB2312"/>
                <w:sz w:val="28"/>
                <w:szCs w:val="28"/>
              </w:rPr>
            </w:pPr>
          </w:p>
        </w:tc>
        <w:tc>
          <w:tcPr>
            <w:tcW w:w="594" w:type="pct"/>
            <w:vMerge w:val="continue"/>
            <w:vAlign w:val="center"/>
          </w:tcPr>
          <w:p>
            <w:pPr>
              <w:spacing w:line="360" w:lineRule="auto"/>
              <w:jc w:val="center"/>
              <w:rPr>
                <w:rFonts w:hint="eastAsia" w:ascii="仿宋_GB2312" w:hAnsi="仿宋_GB2312" w:eastAsia="仿宋_GB2312" w:cs="仿宋_GB2312"/>
                <w:sz w:val="28"/>
                <w:szCs w:val="28"/>
              </w:rPr>
            </w:pPr>
          </w:p>
        </w:tc>
        <w:tc>
          <w:tcPr>
            <w:tcW w:w="1473" w:type="pct"/>
            <w:vAlign w:val="center"/>
          </w:tcPr>
          <w:p>
            <w:pPr>
              <w:spacing w:line="360" w:lineRule="auto"/>
              <w:jc w:val="left"/>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移动电话：</w:t>
            </w:r>
          </w:p>
        </w:tc>
      </w:tr>
    </w:tbl>
    <w:p>
      <w:pPr>
        <w:wordWrap w:val="0"/>
        <w:spacing w:line="360" w:lineRule="auto"/>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消防安全责任人签字：                </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p>
      <w:pPr>
        <w:spacing w:line="360" w:lineRule="auto"/>
        <w:jc w:val="left"/>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填表说明（本页可不打印）</w:t>
      </w:r>
    </w:p>
    <w:p>
      <w:pPr>
        <w:spacing w:line="360" w:lineRule="auto"/>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 学院二级单位主要负责人（中层正职）是本单位的消防安全责任人，应当履行下列消防安全职责：</w:t>
      </w:r>
    </w:p>
    <w:p>
      <w:pPr>
        <w:spacing w:line="360" w:lineRule="auto"/>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落实学校、院的消防安全管理规定，结合本单位实际制定并落实本单位的消防安全制度和消防安全操作规程；（2）建立本单位的消防安全责任考核、奖惩制度；（3）开展经常性的消防安全教育、培训及演练；（4）定期进行防火检查，做好检查记录，及时消除火灾隐患；（5）保证本单位范围内疏散通道、安全出口畅通，按时对消防设施设备、安全疏散指示标志及应急照明设施进行检查；</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lang w:val="en-US" w:eastAsia="zh-CN"/>
        </w:rPr>
        <w:t>）负责本单位日常消防安全工作。指定专人为本单位消防安全员，明确岗位职责，做好监督检查工作；（</w:t>
      </w:r>
      <w:r>
        <w:rPr>
          <w:rFonts w:hint="eastAsia"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US" w:eastAsia="zh-CN"/>
        </w:rPr>
        <w:t>）对于有出租业务的二级单位，消防安全管理工作由出租单位负责，承租单位应遵守出租单位的消防安全管理规定和其他约定事项；（</w:t>
      </w:r>
      <w:r>
        <w:rPr>
          <w:rFonts w:hint="eastAsia" w:ascii="仿宋_GB2312" w:hAnsi="仿宋_GB2312" w:eastAsia="仿宋_GB2312" w:cs="仿宋_GB2312"/>
          <w:sz w:val="28"/>
          <w:szCs w:val="28"/>
          <w:lang w:val="en-US" w:eastAsia="zh-CN"/>
        </w:rPr>
        <w:t>8</w:t>
      </w:r>
      <w:r>
        <w:rPr>
          <w:rFonts w:hint="default" w:ascii="仿宋_GB2312" w:hAnsi="仿宋_GB2312" w:eastAsia="仿宋_GB2312" w:cs="仿宋_GB2312"/>
          <w:sz w:val="28"/>
          <w:szCs w:val="28"/>
          <w:lang w:val="en-US" w:eastAsia="zh-CN"/>
        </w:rPr>
        <w:t>）按照规定的程序与措施处置火灾事故；（</w:t>
      </w:r>
      <w:r>
        <w:rPr>
          <w:rFonts w:hint="eastAsia" w:ascii="仿宋_GB2312" w:hAnsi="仿宋_GB2312" w:eastAsia="仿宋_GB2312" w:cs="仿宋_GB2312"/>
          <w:sz w:val="28"/>
          <w:szCs w:val="28"/>
          <w:lang w:val="en-US" w:eastAsia="zh-CN"/>
        </w:rPr>
        <w:t>9</w:t>
      </w:r>
      <w:r>
        <w:rPr>
          <w:rFonts w:hint="default" w:ascii="仿宋_GB2312" w:hAnsi="仿宋_GB2312" w:eastAsia="仿宋_GB2312" w:cs="仿宋_GB2312"/>
          <w:sz w:val="28"/>
          <w:szCs w:val="28"/>
          <w:lang w:val="en-US" w:eastAsia="zh-CN"/>
        </w:rPr>
        <w:t>）学校</w:t>
      </w:r>
      <w:r>
        <w:rPr>
          <w:rFonts w:hint="eastAsia" w:ascii="仿宋_GB2312" w:hAnsi="仿宋_GB2312" w:eastAsia="仿宋_GB2312" w:cs="仿宋_GB2312"/>
          <w:sz w:val="28"/>
          <w:szCs w:val="28"/>
          <w:lang w:val="en-US" w:eastAsia="zh-CN"/>
        </w:rPr>
        <w:t>、院</w:t>
      </w:r>
      <w:r>
        <w:rPr>
          <w:rFonts w:hint="default" w:ascii="仿宋_GB2312" w:hAnsi="仿宋_GB2312" w:eastAsia="仿宋_GB2312" w:cs="仿宋_GB2312"/>
          <w:sz w:val="28"/>
          <w:szCs w:val="28"/>
          <w:lang w:val="en-US" w:eastAsia="zh-CN"/>
        </w:rPr>
        <w:t>规定的其他消防安全职责。</w:t>
      </w:r>
    </w:p>
    <w:p>
      <w:pPr>
        <w:spacing w:line="360" w:lineRule="auto"/>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 学院二级单位（有行政副职的）须确定一名行政副职领导干部为本单位消防安全管理人，消防安全管理人对本单位的消防安全工作负主要责任，应当履行下列消防安全职责：</w:t>
      </w:r>
    </w:p>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主持本单位消防安全管理的具体工作，协助本单位消防责任人认真履行职责，抓好消防法规和各项管理制度的落实；（2）建立健全逐级消防责任制和岗位职责，定期检查落实情况，做好检查记录，及时落实火灾隐患整改措施；（3）拟订、落实本单位消防工作计划，做好工作总结；（4）具体安排对师生员工进行防火常识和消防技能的培训和灭火演练；（5）完成本单位消防责任人交办的其他消防安全管理工作。其他二级单位行政副职领导干部在分管工作范围内对消防工作负有领导、监督、检查、教育和管理职责。</w:t>
      </w:r>
    </w:p>
    <w:p>
      <w:pPr>
        <w:spacing w:line="360" w:lineRule="auto"/>
        <w:jc w:val="left"/>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w:t>
      </w:r>
      <w:r>
        <w:rPr>
          <w:rFonts w:hint="default" w:ascii="仿宋_GB2312" w:hAnsi="仿宋_GB2312" w:eastAsia="仿宋_GB2312" w:cs="仿宋_GB2312"/>
          <w:b/>
          <w:bCs/>
          <w:sz w:val="28"/>
          <w:szCs w:val="28"/>
          <w:lang w:val="en-US" w:eastAsia="zh-CN"/>
        </w:rPr>
        <w:t>各单位设专（兼）职消防安全员</w:t>
      </w:r>
      <w:r>
        <w:rPr>
          <w:rFonts w:hint="eastAsia" w:ascii="仿宋_GB2312" w:hAnsi="仿宋_GB2312" w:eastAsia="仿宋_GB2312" w:cs="仿宋_GB2312"/>
          <w:b/>
          <w:bCs/>
          <w:sz w:val="28"/>
          <w:szCs w:val="28"/>
          <w:lang w:val="en-US" w:eastAsia="zh-CN"/>
        </w:rPr>
        <w:t>（1人）</w:t>
      </w:r>
      <w:r>
        <w:rPr>
          <w:rFonts w:hint="default" w:ascii="仿宋_GB2312" w:hAnsi="仿宋_GB2312" w:eastAsia="仿宋_GB2312" w:cs="仿宋_GB2312"/>
          <w:b/>
          <w:bCs/>
          <w:sz w:val="28"/>
          <w:szCs w:val="28"/>
          <w:lang w:val="en-US" w:eastAsia="zh-CN"/>
        </w:rPr>
        <w:t>。消防安全员在本单位消防安全管理人的直接领导下，履行对消防安全管理工作的实施、监督、巡查、督促整改职能。消防安全员对本单位消防安全管理工作负直接责任，并对本单位消防安全管理人负责。职责是：</w:t>
      </w:r>
      <w:bookmarkStart w:id="0" w:name="_GoBack"/>
      <w:bookmarkEnd w:id="0"/>
    </w:p>
    <w:p>
      <w:pPr>
        <w:spacing w:line="360" w:lineRule="auto"/>
        <w:jc w:val="left"/>
      </w:pP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）落实本单位消防工作计划，组织实施日常消防安全管理工作；（</w:t>
      </w: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）组织完善消防安全管理制度和消防安全操作规程，随时巡查，做好记录备查，建立检查和隐患台帐；（</w:t>
      </w: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）组织实施防火安全检查，及时纠正违反消防安全行为，对发现的火灾隐患及时整改，对不能及时整改的，迅速上报主管领导，并督促限期整改；（</w:t>
      </w: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）检查、维护保养本单位的消防设施、灭火器材和消防安全标识，确保完好有效；（</w:t>
      </w:r>
      <w:r>
        <w:rPr>
          <w:rFonts w:hint="eastAsia"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US" w:eastAsia="zh-CN"/>
        </w:rPr>
        <w:t>）确保消防通道和安全出口畅通；（</w:t>
      </w: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lang w:val="en-US" w:eastAsia="zh-CN"/>
        </w:rPr>
        <w:t>）实施应急疏散预案，组织师生员工和义务消防队进行演练；（</w:t>
      </w:r>
      <w:r>
        <w:rPr>
          <w:rFonts w:hint="eastAsia"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US" w:eastAsia="zh-CN"/>
        </w:rPr>
        <w:t>）组织、完成本单位对师生员工的消防安全教育和消防技能培训计划；（</w:t>
      </w:r>
      <w:r>
        <w:rPr>
          <w:rFonts w:hint="eastAsia" w:ascii="仿宋_GB2312" w:hAnsi="仿宋_GB2312" w:eastAsia="仿宋_GB2312" w:cs="仿宋_GB2312"/>
          <w:sz w:val="28"/>
          <w:szCs w:val="28"/>
          <w:lang w:val="en-US" w:eastAsia="zh-CN"/>
        </w:rPr>
        <w:t>8</w:t>
      </w:r>
      <w:r>
        <w:rPr>
          <w:rFonts w:hint="default" w:ascii="仿宋_GB2312" w:hAnsi="仿宋_GB2312" w:eastAsia="仿宋_GB2312" w:cs="仿宋_GB2312"/>
          <w:sz w:val="28"/>
          <w:szCs w:val="28"/>
          <w:lang w:val="en-US" w:eastAsia="zh-CN"/>
        </w:rPr>
        <w:t>）及时向本单位消防安全管理人和保卫处报告消防安全和火灾隐患整改情况。</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YmExNmRhNGM4ZGYwMTQxNWJiYWM2NGM5MGQxOGQifQ=="/>
  </w:docVars>
  <w:rsids>
    <w:rsidRoot w:val="5E4B2A1C"/>
    <w:rsid w:val="5E4B2A1C"/>
    <w:rsid w:val="696B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2022-11-15T03:13:00Z</dcterms:created>
  <dc:creator>陈昊</dc:creator>
  <cp:lastModifiedBy>ASUS</cp:lastModifiedBy>
  <dcterms:modified xsi:type="dcterms:W3CDTF">2022-11-16T00:41:29Z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DCB59F3AB23E491AA9A1129AA50658FD</vt:lpwstr>
  </property>
</Properties>
</file>